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173</w:t>
      </w:r>
    </w:p>
    <w:p>
      <w:r>
        <w:t>Bundesgericht (BGE), 1979-10-08, DE</w:t>
      </w:r>
    </w:p>
    <w:p>
      <w:r>
        <w:rPr>
          <w:b/>
        </w:rPr>
        <w:t xml:space="preserve">Quelle: </w:t>
      </w:r>
      <w:r>
        <w:t>https://mcp.opencaselaw.ch/entscheid/bge_105 V 173</w:t>
      </w:r>
    </w:p>
    <w:p>
      <w:r>
        <w:t>FR: ATF 105 V 173</w:t>
      </w:r>
    </w:p>
    <w:p>
      <w:r>
        <w:t>IT: DTF 105 V 173</w:t>
      </w:r>
    </w:p>
    <w:p>
      <w:pPr>
        <w:pStyle w:val="Heading2"/>
      </w:pPr>
      <w:r>
        <w:t>Regeste</w:t>
      </w:r>
    </w:p>
    <w:p>
      <w:r>
        <w:t>Regeste Art. 41 IVG, 88a Abs. 1 und 88bis Abs. 2 IVV; Art. 47 Abs. 1 AHVG. - Die Vorschriften über die Revision von Invalidenrenten und Hilflosenentschädigungen der Invalidenversicherung gelten in analoger Weise auch für die Revision von Eingliederungsleistungen. - Abgrenzung des Anwendungsbereichs des Art. 41 IVG einerseits und des Art. 47 Abs. 1 AHVG (in Verbindung mit Art. 49 IVG) sowie des Art. 85 Abs. 2 IVV anderseits.</w:t>
      </w:r>
    </w:p>
    <w:p>
      <w:pPr>
        <w:pStyle w:val="Heading2"/>
      </w:pPr>
      <w:r>
        <w:t>Volltext</w:t>
      </w:r>
    </w:p>
    <w:p>
      <w:r>
        <w:t>Urteilskopf 105 V 173 40. Auszug aus dem Urteil vom 8. Oktober 1979 i.S. Weber gegen Ausgleichskasse des Kantons Zug und Verwaltungsgericht des Kantons Zug Regeste Art. 41 IVG , 88a Abs. 1 und 88bis Abs. 2 IVV; Art. 47 Abs. 1 AHVG . - Die Vorschriften über die Revision von Invalidenrenten und Hilflosenentschädigungen der Invalidenversicherung gelten in analoger Weise auch für die Revision von Eingliederungsleistungen. - Abgrenzung des Anwendungsbereichs des Art. 41 IVG einerseits und des Art. 47 Abs. 1 AHVG (in Verbindung mit Art. 49 IVG ) sowie des Art. 85 Abs. 2 IVV anderseits. Erwägungen ab Seite 174 BGE 105 V 173 S. 174 Aus den Erwägungen: a) Ändert sich der Grad der Invalidität eines Rentenbezügers in einer für den Anspruch erheblichen Weise, so ist die Rente gemäss Art. 41 IVG für die Zukunft entsprechend zu erhöhen, herabzusetzen oder aufzuheben. Diese Bestimmung gilt sinngemäss auch für die Revision der Hilflosenentschädigung ( Art. 86 IVV ). Bei einer Verbesserung der Erwerbsfähigkeit oder Verminderung der Hilflosigkeit ist die anspruchsbeeinflussende Änderung für die Herabsetzung oder Aufhebung der Leistung von dem Zeitpunkt an zu berücksichtigen, in dem angenommen werden kann, dass sie voraussichtlich längere Zeit dauern wird; in jedem Fall ist sie zu berücksichtigen, nachdem sie ohne wesentliche Unterbrechung drei Monate angedauert hat und voraussichtlich weiterhin andauern wird ( Art. 88a Abs. 1 IVV ). Schliesslich bestimmt Art. 88bis Abs. 2 lit. a IVV , dass die revisionsweise Herabsetzung oder Aufhebung der Renten und Hilflosenentschädigungen frühestens vom ersten Tag des der Zustellung der Verfügung folgenden Monats an erfolgt, es sei denn, der Bezüger habe die Leistung unrechtmässig erwirkt oder sei der zumutbaren Meldepflicht gemäss Art. 77 IVV nicht nachgekommen ( Art. 88bis Abs. 2 lit. b IVV ). Diese Revisionsvorschriften beziehen sich lediglich auf Renten und Hilflosenentschädigungen, wogegen die Revision von Eingliederungsleistungen, d.h. die Herabsetzung oder Aufhebung solcher Leistungen wegen einer seit ihrer Zusprechung eingetretenen Veränderung der Verhältnisse, von Gesetz und Verordnung nicht ausdrücklich geregelt wird. Es rechtfertigt sich indessen, diese Fälle gleich wie Renten und Hilflosenentschädigungen zu behandeln und demzufolge Art. 41 IVG sowie die dazugehörigen Verordnungsbestimmungen in analoger Weise auch auf die Revision von Eingliederungsleistungen anzuwenden (nicht veröffentlichtes Urteil vom 25. Oktober 1966 i.S. Knecht). Die Vorinstanz begründet die Verpflichtung zur Rückerstattung in ihrem Entscheid mit dem Hinweis auf Art. 47 AHVG (in Verbindung mit Art. 49 IVG ). Diese Bestimmung kann indessen in Revisionsfällen keine Anwendung finden. Sie gilt vielmehr nur, wenn einerseits die Verwaltung eine frühere formell BGE 105 V 173 S. 175 rechtskräftige Verfügung in Wiedererwägung zieht, weil sie sich als zweifellos unrichtig erweist und ihre Berichtigung von erheblicher Bedeutung ist ( BGE 103 V 128 mit Hinweis), und wenn anderseits der Fall nicht nach Art. 85 Abs. 2 IVV zu beurteilen ist. Dies hängt - wie das Eidg. Versicherungsgericht in BGE 105 V 163 entschieden hat - davon ab, ob der zur Wiedererwägung der früheren Verfügung führende Fehler einen AHV-analogen Gesichtspunkt (etwa die Staatsangehörigkeit, den Zivilstand, den Wohnsitz, die Versicherteneigenschaft, die Berechnungsgrundlagen der ordentlichen Rente wie massgebendes durchschnittliches Jahreseinkommen oder anwendbare Rentenskala) oder aber einen spezifisch IV-rechtlichen Faktor (etwa die Bemessung des Invaliditäts- und Hilflosigkeitsgrades, die Beurteilung der Notwendigkeit und Geeignetheit von medizinischen und beruflichen Eingliederungsmassnahmen, von Sonderschulmassnahmen und Hilfsmitteln) betrifft; in jenem Falle gelangt Art. 47 Abs. 1 AHVG , in diesem Art. 85 Abs. 2 IVV (allenfalls dessen Abs. 3) zur Anwendung. b) Im vorliegenden Fall geht es unbestreitbar um die Revision einer Eingliederungsleistung. Die Verhältnisse erfuhren insofern eine erhebliche Veränderung, als die invaliditätsbedingte Notwendigkeit einer Begleitung der Beschwerdeführerin auf ihrem Schulweg auf anfangs 1977 wegfiel. Die mit Verfügung vom 21. Dezember 1973 zwar mit dem Hinweis "vorläufig", aber doch unbefristet zugesprochene Vergütung der Fahrauslagen einer Begleitperson kann daher nur mit Wirkung für die Zukunft aufgehoben werden. Anhaltspunkte dafür, dass der Vater der Beschwerdeführerin die Leistung unrechtmässig erwirkt habe oder der ihm zumutbaren Meldepflicht nicht nachgekommen sei, sind nicht ersichtlich. Somit ergibt sich, dass die von Januar bis Mitte Juni 1977 erbrachte Fahrauslagenvergütung für die Begleitperson nicht zurückgefordert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